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Varianti in corso d'opera che non presentano i caratteri delle variazioni essenziali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varianti a permessi di costruire che non configurano una variazione essenziale , a condizione che siano conformi alle prescrizioni urbanistiche ed edilizie e siano attuate dopo l'acquisizione degli eventuali atti di assenso prescritti dalla normativa sui vincoli paesaggistici, idrogeologici, ambientali, di tutela del patrimonio storico, artistico e archeologico e delle altre normative di settore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